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27EF0" w14:textId="77777777" w:rsidR="001125E6" w:rsidRDefault="001125E6">
      <w:pPr>
        <w:rPr>
          <w:sz w:val="22"/>
          <w:szCs w:val="22"/>
        </w:rPr>
      </w:pPr>
    </w:p>
    <w:p w14:paraId="5BAA3B10" w14:textId="5599E161" w:rsidR="00AD1EE5" w:rsidRPr="000733E5" w:rsidRDefault="00AD1EE5" w:rsidP="000733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ARTICULADO CONCERTADO </w:t>
      </w:r>
      <w:r w:rsidR="00204C12">
        <w:rPr>
          <w:b/>
          <w:sz w:val="22"/>
          <w:szCs w:val="22"/>
        </w:rPr>
        <w:t>PROYECTO</w:t>
      </w:r>
      <w:r>
        <w:rPr>
          <w:b/>
          <w:sz w:val="22"/>
          <w:szCs w:val="22"/>
        </w:rPr>
        <w:t>S</w:t>
      </w:r>
      <w:r w:rsidR="00204C12">
        <w:rPr>
          <w:b/>
          <w:sz w:val="22"/>
          <w:szCs w:val="22"/>
        </w:rPr>
        <w:t xml:space="preserve"> DE ACUERDO</w:t>
      </w:r>
      <w:r>
        <w:rPr>
          <w:b/>
          <w:sz w:val="22"/>
          <w:szCs w:val="22"/>
        </w:rPr>
        <w:t xml:space="preserve"> 559 DE 2025 Y 692 DE 2025, UNIFICADOS POR UNIDAD DE MATERIA.</w:t>
      </w:r>
      <w:r>
        <w:rPr>
          <w:b/>
          <w:sz w:val="22"/>
          <w:szCs w:val="22"/>
        </w:rPr>
        <w:br/>
      </w:r>
    </w:p>
    <w:p w14:paraId="6165EA20" w14:textId="77777777" w:rsidR="00AD1EE5" w:rsidRDefault="00AD1EE5" w:rsidP="00AD1EE5">
      <w:pPr>
        <w:jc w:val="center"/>
        <w:rPr>
          <w:b/>
          <w:bCs/>
          <w:sz w:val="22"/>
          <w:szCs w:val="22"/>
          <w:lang w:val="es-US"/>
        </w:rPr>
      </w:pPr>
    </w:p>
    <w:p w14:paraId="1A9D502B" w14:textId="45751CDC" w:rsidR="00AD1EE5" w:rsidRPr="000733E5" w:rsidRDefault="00AD1EE5" w:rsidP="00AD1EE5">
      <w:pPr>
        <w:jc w:val="center"/>
        <w:rPr>
          <w:b/>
          <w:bCs/>
          <w:i/>
          <w:iCs/>
          <w:sz w:val="22"/>
          <w:szCs w:val="22"/>
          <w:lang w:val="es-US"/>
        </w:rPr>
      </w:pPr>
      <w:r w:rsidRPr="000733E5">
        <w:rPr>
          <w:i/>
          <w:iCs/>
        </w:rPr>
        <w:t>“Por medio del cual se establecen los lineamientos para la creación, implementación y fortalecimiento de instancias de participación comunitaria en seguridad</w:t>
      </w:r>
      <w:r w:rsidR="000733E5" w:rsidRPr="000733E5">
        <w:rPr>
          <w:i/>
          <w:iCs/>
        </w:rPr>
        <w:t>:</w:t>
      </w:r>
      <w:r w:rsidRPr="000733E5">
        <w:rPr>
          <w:i/>
          <w:iCs/>
        </w:rPr>
        <w:t xml:space="preserve"> frentes de seguridad</w:t>
      </w:r>
      <w:r w:rsidR="000733E5" w:rsidRPr="000733E5">
        <w:rPr>
          <w:i/>
          <w:iCs/>
        </w:rPr>
        <w:t xml:space="preserve"> o </w:t>
      </w:r>
      <w:r w:rsidRPr="000733E5">
        <w:rPr>
          <w:i/>
          <w:iCs/>
        </w:rPr>
        <w:t xml:space="preserve">zonas seguras </w:t>
      </w:r>
      <w:r w:rsidR="000733E5" w:rsidRPr="000733E5">
        <w:rPr>
          <w:i/>
          <w:iCs/>
        </w:rPr>
        <w:t>y</w:t>
      </w:r>
      <w:r w:rsidRPr="000733E5">
        <w:rPr>
          <w:i/>
          <w:iCs/>
        </w:rPr>
        <w:t xml:space="preserve"> grupos ciudadanos en Bogotá D.C., priorizando su </w:t>
      </w:r>
      <w:r w:rsidR="000733E5" w:rsidRPr="000733E5">
        <w:rPr>
          <w:i/>
          <w:iCs/>
        </w:rPr>
        <w:t>implementación</w:t>
      </w:r>
      <w:r w:rsidRPr="000733E5">
        <w:rPr>
          <w:i/>
          <w:iCs/>
        </w:rPr>
        <w:t xml:space="preserve"> en puntos críticos de inseguridad, y se dictan otras disposiciones.”</w:t>
      </w:r>
    </w:p>
    <w:p w14:paraId="0632E26D" w14:textId="77777777" w:rsidR="00AD1EE5" w:rsidRPr="00AD1EE5" w:rsidRDefault="00AD1EE5" w:rsidP="00AD1EE5">
      <w:pPr>
        <w:jc w:val="center"/>
        <w:rPr>
          <w:b/>
          <w:bCs/>
          <w:sz w:val="22"/>
          <w:szCs w:val="22"/>
          <w:lang w:val="es-US"/>
        </w:rPr>
      </w:pPr>
    </w:p>
    <w:p w14:paraId="720CC7F7" w14:textId="77777777" w:rsidR="00AD1EE5" w:rsidRDefault="00AD1EE5" w:rsidP="00AD1EE5">
      <w:pPr>
        <w:jc w:val="center"/>
        <w:rPr>
          <w:b/>
          <w:bCs/>
          <w:sz w:val="22"/>
          <w:szCs w:val="22"/>
          <w:lang w:val="es-US"/>
        </w:rPr>
      </w:pPr>
    </w:p>
    <w:p w14:paraId="63114AAC" w14:textId="6F603980" w:rsidR="00AD1EE5" w:rsidRDefault="00AD1EE5" w:rsidP="00AD1EE5">
      <w:pPr>
        <w:jc w:val="center"/>
        <w:rPr>
          <w:b/>
          <w:bCs/>
          <w:sz w:val="22"/>
          <w:szCs w:val="22"/>
          <w:lang w:val="es-US"/>
        </w:rPr>
      </w:pPr>
      <w:r w:rsidRPr="00AD1EE5">
        <w:rPr>
          <w:b/>
          <w:bCs/>
          <w:sz w:val="22"/>
          <w:szCs w:val="22"/>
          <w:lang w:val="es-US"/>
        </w:rPr>
        <w:t>EL CONCEJO DE BOGOTÁ D.C.</w:t>
      </w:r>
    </w:p>
    <w:p w14:paraId="6C59C591" w14:textId="77777777" w:rsidR="000733E5" w:rsidRPr="00AD1EE5" w:rsidRDefault="000733E5" w:rsidP="00AD1EE5">
      <w:pPr>
        <w:jc w:val="center"/>
        <w:rPr>
          <w:b/>
          <w:bCs/>
          <w:sz w:val="22"/>
          <w:szCs w:val="22"/>
          <w:lang w:val="es-US"/>
        </w:rPr>
      </w:pPr>
    </w:p>
    <w:p w14:paraId="783E62FE" w14:textId="6DAEBE06" w:rsidR="00AD1EE5" w:rsidRPr="000733E5" w:rsidRDefault="00AD1EE5" w:rsidP="000733E5">
      <w:pPr>
        <w:jc w:val="center"/>
        <w:rPr>
          <w:sz w:val="22"/>
          <w:szCs w:val="22"/>
          <w:lang w:val="es-US"/>
        </w:rPr>
      </w:pPr>
      <w:r w:rsidRPr="000733E5">
        <w:rPr>
          <w:sz w:val="22"/>
          <w:szCs w:val="22"/>
          <w:lang w:val="es-US"/>
        </w:rPr>
        <w:t>En ejercicio de sus facultades constitucionales y legales, en especial las conferidas por</w:t>
      </w:r>
      <w:r w:rsidR="000733E5" w:rsidRPr="000733E5">
        <w:rPr>
          <w:sz w:val="22"/>
          <w:szCs w:val="22"/>
          <w:lang w:val="es-US"/>
        </w:rPr>
        <w:t xml:space="preserve"> </w:t>
      </w:r>
      <w:r w:rsidRPr="000733E5">
        <w:rPr>
          <w:sz w:val="22"/>
          <w:szCs w:val="22"/>
          <w:lang w:val="es-US"/>
        </w:rPr>
        <w:t>los numerales 1 y 7 del artículo 12 del Decreto Ley 1421 de 1993,</w:t>
      </w:r>
    </w:p>
    <w:p w14:paraId="5FB734F0" w14:textId="77777777" w:rsidR="000733E5" w:rsidRDefault="000733E5" w:rsidP="00AD1EE5">
      <w:pPr>
        <w:jc w:val="center"/>
        <w:rPr>
          <w:b/>
          <w:bCs/>
          <w:sz w:val="22"/>
          <w:szCs w:val="22"/>
          <w:lang w:val="es-US"/>
        </w:rPr>
      </w:pPr>
    </w:p>
    <w:p w14:paraId="72C31468" w14:textId="77777777" w:rsidR="000733E5" w:rsidRDefault="000733E5" w:rsidP="00AD1EE5">
      <w:pPr>
        <w:jc w:val="center"/>
        <w:rPr>
          <w:b/>
          <w:bCs/>
          <w:sz w:val="22"/>
          <w:szCs w:val="22"/>
          <w:lang w:val="es-US"/>
        </w:rPr>
      </w:pPr>
    </w:p>
    <w:p w14:paraId="7F2C89B0" w14:textId="1276CDD5" w:rsidR="001125E6" w:rsidRDefault="00AD1EE5" w:rsidP="00AD1EE5">
      <w:pPr>
        <w:jc w:val="center"/>
        <w:rPr>
          <w:b/>
          <w:sz w:val="22"/>
          <w:szCs w:val="22"/>
        </w:rPr>
      </w:pPr>
      <w:r w:rsidRPr="00AD1EE5">
        <w:rPr>
          <w:b/>
          <w:bCs/>
          <w:sz w:val="22"/>
          <w:szCs w:val="22"/>
          <w:lang w:val="es-US"/>
        </w:rPr>
        <w:t>ACUERDA</w:t>
      </w:r>
    </w:p>
    <w:p w14:paraId="6AAB103C" w14:textId="77777777" w:rsidR="001125E6" w:rsidRDefault="001125E6">
      <w:pPr>
        <w:rPr>
          <w:b/>
          <w:sz w:val="22"/>
          <w:szCs w:val="22"/>
        </w:rPr>
      </w:pPr>
    </w:p>
    <w:p w14:paraId="1E47E885" w14:textId="43F62944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1. OBJETO</w:t>
      </w:r>
      <w:r w:rsidRPr="00265D75">
        <w:rPr>
          <w:sz w:val="22"/>
          <w:szCs w:val="22"/>
          <w:lang w:val="es-US"/>
        </w:rPr>
        <w:t>. El presente Acuerdo tiene por objeto establecer los lineamientos para la creación, implementación y fortalecimiento de Frentes de Seguridad o Zonas Seguras en Bogotá, priorizando su desarrollo en los puntos críticos de inseguridad, y fija la coordinación diferenciada con los grupos ciudadanos reconocidos por la Secretaría Distrital de Seguridad, Convivencia y Justicia, respetando la autonomía comunitaria y las competencias de la Policía Metropolitana de Bogotá.</w:t>
      </w:r>
      <w:r w:rsidRPr="00265D75">
        <w:rPr>
          <w:sz w:val="22"/>
          <w:szCs w:val="22"/>
          <w:lang w:val="es-US"/>
        </w:rPr>
        <w:br/>
      </w:r>
    </w:p>
    <w:p w14:paraId="47AFFC26" w14:textId="76D3B01E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2. ALCANCE.</w:t>
      </w:r>
      <w:r w:rsidRPr="00265D75">
        <w:rPr>
          <w:sz w:val="22"/>
          <w:szCs w:val="22"/>
          <w:lang w:val="es-US"/>
        </w:rPr>
        <w:t xml:space="preserve"> La administración distrital, a través de la Secretaría Distrital de Seguridad, Convivencia y Justicia, impulsará la implementación de estos lineamientos en el marco del desarrollo de la estrategia de frentes de seguridad y/o zonas seguras a cargo de la Policía Metropolitana de Bogotá; así como en el marco del acompañamiento a los grupos ciudadanos como instancias de participación y cooperación en materia de seguridad creadas, orientadas y acreditadas por la entidad. </w:t>
      </w:r>
    </w:p>
    <w:p w14:paraId="456922BC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6D665378" w14:textId="6CFCE890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PARÁGRAFO.</w:t>
      </w:r>
      <w:r w:rsidRPr="00265D75">
        <w:rPr>
          <w:sz w:val="22"/>
          <w:szCs w:val="22"/>
          <w:lang w:val="es-US"/>
        </w:rPr>
        <w:t xml:space="preserve"> Los frentes de seguridad y/o las zonas seguras se fundamentan en la cooperación ciudadana para la prevención de delitos y la reacción frente a su ocurrencia, mediante la vigilancia y la implementación de programas comunitarios. Los grupos ciudadanos se fundamentan en la participación ciudadana para la promoción de la convivencia, la prevención de la ocurrencia de violencias y de comportamientos contrarios a la convivencia en la ciudad.</w:t>
      </w:r>
    </w:p>
    <w:p w14:paraId="099D263F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6CD0F7E8" w14:textId="124DE9C3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lastRenderedPageBreak/>
        <w:t>ARTÍCULO 3. IDENTIFICACIÓN Y PRIORIZACIÓN DE PUNTOS CRÍTICOS.</w:t>
      </w:r>
      <w:r w:rsidRPr="00265D75">
        <w:rPr>
          <w:sz w:val="22"/>
          <w:szCs w:val="22"/>
          <w:lang w:val="es-US"/>
        </w:rPr>
        <w:t xml:space="preserve"> La Secretaría Distrital de Seguridad, Convivencia y Justicia identificará y priorizará los puntos críticos de inseguridad con base en información estadística, reportes ciudadanos y observación territorial, preservando la reserva de la información sensible. Para tal efecto, convocará mesas de trabajo con participación de alcaldías locales, comunidad y entidades competentes, a fin de definir zonas de intervención y el despliegue de acciones, de conformidad con las competencias de la Policía Metropolitana de Bogotá y de la Administración Distrital.</w:t>
      </w:r>
      <w:r w:rsidRPr="00265D75">
        <w:rPr>
          <w:sz w:val="22"/>
          <w:szCs w:val="22"/>
          <w:lang w:val="es-US"/>
        </w:rPr>
        <w:br/>
      </w:r>
    </w:p>
    <w:p w14:paraId="27C361E4" w14:textId="14C64451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4. ÁMBITO DE APLICACIÓN.</w:t>
      </w:r>
      <w:r w:rsidRPr="00265D75">
        <w:rPr>
          <w:sz w:val="22"/>
          <w:szCs w:val="22"/>
          <w:lang w:val="es-US"/>
        </w:rPr>
        <w:t xml:space="preserve"> La implementación de estos lineamientos se realizará en coordinación entre la Policía Metropolitana de Bogotá, en lo relacionado con los frentes de seguridad y/o las zonas seguras; y la Secretaría Distrital de Seguridad, Convivencia y Justicia, en lo relacionado con los grupos ciudadanos.</w:t>
      </w:r>
    </w:p>
    <w:p w14:paraId="0D8F1CCE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4650CE6C" w14:textId="62C7CCC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5. LINEAMIENTOS.</w:t>
      </w:r>
      <w:r w:rsidRPr="00265D75">
        <w:rPr>
          <w:sz w:val="22"/>
          <w:szCs w:val="22"/>
          <w:lang w:val="es-US"/>
        </w:rPr>
        <w:t xml:space="preserve"> En relación con las acciones desarrolladas por los frentes de seguridad y/o las zonas seguras, así como por los grupos ciudadanos, se disponen los siguientes lineamientos:  </w:t>
      </w:r>
    </w:p>
    <w:p w14:paraId="250BD8EE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528DF82E" w14:textId="77777777" w:rsidR="00265D75" w:rsidRPr="00265D75" w:rsidRDefault="00265D75" w:rsidP="00265D75">
      <w:pPr>
        <w:numPr>
          <w:ilvl w:val="0"/>
          <w:numId w:val="2"/>
        </w:num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Identificación conjunta de los factores de riesgo, las causas de conflictividad y de las situaciones de convivencia susceptibles de intervención.</w:t>
      </w:r>
    </w:p>
    <w:p w14:paraId="2B76CEC2" w14:textId="77777777" w:rsidR="00265D75" w:rsidRPr="00265D75" w:rsidRDefault="00265D75" w:rsidP="00265D75">
      <w:pPr>
        <w:numPr>
          <w:ilvl w:val="0"/>
          <w:numId w:val="2"/>
        </w:num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Priorizar la creación y/o fortalecimiento de los frentes de seguridad o zonas seguras en coordinación con los grupos ciudadanos en los puntos críticos de la ciudad.</w:t>
      </w:r>
    </w:p>
    <w:p w14:paraId="07E6BE59" w14:textId="77777777" w:rsidR="00265D75" w:rsidRPr="00265D75" w:rsidRDefault="00265D75" w:rsidP="00265D75">
      <w:pPr>
        <w:numPr>
          <w:ilvl w:val="0"/>
          <w:numId w:val="2"/>
        </w:num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Diseño de acuerdos para la atención oportuna de las situaciones recurrentes que afectan la convivencia.</w:t>
      </w:r>
    </w:p>
    <w:p w14:paraId="3A2115F4" w14:textId="77777777" w:rsidR="00265D75" w:rsidRPr="00265D75" w:rsidRDefault="00265D75" w:rsidP="00265D75">
      <w:pPr>
        <w:numPr>
          <w:ilvl w:val="0"/>
          <w:numId w:val="2"/>
        </w:num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Espacios de intercambio y fortalecimiento de saberes, experiencias y capacidades para fomentar la convivencia pacífica.</w:t>
      </w:r>
    </w:p>
    <w:p w14:paraId="2253FF45" w14:textId="77777777" w:rsidR="00265D75" w:rsidRPr="00265D75" w:rsidRDefault="00265D75" w:rsidP="00265D75">
      <w:pPr>
        <w:numPr>
          <w:ilvl w:val="0"/>
          <w:numId w:val="2"/>
        </w:num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Fomentar vínculos entre la ciudadanía, las instituciones y el sector privado para fortalecer la confianza ciudadana.</w:t>
      </w:r>
    </w:p>
    <w:p w14:paraId="0B74B470" w14:textId="77777777" w:rsidR="00265D75" w:rsidRPr="00265D75" w:rsidRDefault="00265D75" w:rsidP="00265D75">
      <w:pPr>
        <w:numPr>
          <w:ilvl w:val="0"/>
          <w:numId w:val="2"/>
        </w:num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La Administración Distrital, a través de la Secretaría Distrital de Seguridad, Convivencia y Justicia, en coordinación con las alcaldías locales y las entidades competentes, consolidará y mantendrá actualizado un registro distrital de las instancias de participación comunitaria en seguridad (denominadas frentes de seguridad o zonas seguras y grupos ciudadanos) reconocidas por la Secretaría, con el fin de orientar la focalización de apoyos institucionales, los procesos de capacitación y las acciones de seguimiento y evaluación.</w:t>
      </w:r>
    </w:p>
    <w:p w14:paraId="173AF346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4B937BF4" w14:textId="49D761BA" w:rsid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PARÁGRAFO 1.</w:t>
      </w:r>
      <w:r w:rsidRPr="00265D75">
        <w:rPr>
          <w:sz w:val="22"/>
          <w:szCs w:val="22"/>
          <w:lang w:val="es-US"/>
        </w:rPr>
        <w:t xml:space="preserve"> Se entenderá por puntos críticos aquellos lugares del territorio donde exista alta incidencia y recurrencia de conductas delictivas o contravenciones que afecten la convivencia y la seguridad ciudadana, de acuerdo con los datos estadísticos, reportes ciudadanos y observación territorial que identifique la Secretaría Distrital de Seguridad, Convivencia y Justicia.</w:t>
      </w:r>
    </w:p>
    <w:p w14:paraId="17D25E7B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740709F7" w14:textId="621979B1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PARÁGRAFO 2.</w:t>
      </w:r>
      <w:r w:rsidRPr="00265D75">
        <w:rPr>
          <w:sz w:val="22"/>
          <w:szCs w:val="22"/>
          <w:lang w:val="es-US"/>
        </w:rPr>
        <w:t xml:space="preserve"> La articulación con la Policía Metropolitana de Bogotá se realizará estrictamente en el marco de sus competencias constitucionales y legales, sin que ello implique asignación de funciones operativas por parte del Distrito.</w:t>
      </w:r>
    </w:p>
    <w:p w14:paraId="4D165020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6C0CBE27" w14:textId="53A5ABF0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6. FORMACIÓN, CAPACITACIÓN Y CULTURA CIUDADANA.</w:t>
      </w:r>
      <w:r w:rsidRPr="00265D75">
        <w:rPr>
          <w:sz w:val="22"/>
          <w:szCs w:val="22"/>
          <w:lang w:val="es-US"/>
        </w:rPr>
        <w:t xml:space="preserve"> La Secretaría Distrital de Seguridad, Convivencia y Justicia, en articulación con las entidades distritales competentes, facilitará y garantizará jornadas de formación y capacitación dirigidas a los integrantes de las instancias de participación comunitaria en seguridad (denominadas frentes de seguridad o zonas seguras y grupos ciudadanos), con el propósito de fortalecer su papel en la prevención del delito, la promoción de la convivencia y la cooperación ciudadana.</w:t>
      </w:r>
    </w:p>
    <w:p w14:paraId="3FE7D8E7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3C78DDA0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Estas jornadas abordarán, entre otros, los siguientes aspectos:</w:t>
      </w:r>
    </w:p>
    <w:p w14:paraId="03DB1673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i) Prevención y transformación de comportamientos contrarios a la convivencia.</w:t>
      </w:r>
    </w:p>
    <w:p w14:paraId="06F8ECA8" w14:textId="77777777" w:rsidR="00265D75" w:rsidRPr="00265D75" w:rsidRDefault="00265D75" w:rsidP="00265D75">
      <w:pPr>
        <w:rPr>
          <w:sz w:val="22"/>
          <w:szCs w:val="22"/>
          <w:lang w:val="es-US"/>
        </w:rPr>
      </w:pPr>
      <w:proofErr w:type="spellStart"/>
      <w:r w:rsidRPr="00265D75">
        <w:rPr>
          <w:sz w:val="22"/>
          <w:szCs w:val="22"/>
          <w:lang w:val="es-US"/>
        </w:rPr>
        <w:t>ii</w:t>
      </w:r>
      <w:proofErr w:type="spellEnd"/>
      <w:r w:rsidRPr="00265D75">
        <w:rPr>
          <w:sz w:val="22"/>
          <w:szCs w:val="22"/>
          <w:lang w:val="es-US"/>
        </w:rPr>
        <w:t>) Prevención de la ocurrencia de violencias y delitos.</w:t>
      </w:r>
    </w:p>
    <w:p w14:paraId="169BA953" w14:textId="77777777" w:rsidR="00265D75" w:rsidRPr="00265D75" w:rsidRDefault="00265D75" w:rsidP="00265D75">
      <w:pPr>
        <w:rPr>
          <w:sz w:val="22"/>
          <w:szCs w:val="22"/>
          <w:lang w:val="es-US"/>
        </w:rPr>
      </w:pPr>
      <w:proofErr w:type="spellStart"/>
      <w:r w:rsidRPr="00265D75">
        <w:rPr>
          <w:sz w:val="22"/>
          <w:szCs w:val="22"/>
          <w:lang w:val="es-US"/>
        </w:rPr>
        <w:t>iii</w:t>
      </w:r>
      <w:proofErr w:type="spellEnd"/>
      <w:r w:rsidRPr="00265D75">
        <w:rPr>
          <w:sz w:val="22"/>
          <w:szCs w:val="22"/>
          <w:lang w:val="es-US"/>
        </w:rPr>
        <w:t>) Identificación y gestión de riesgos en el territorio.</w:t>
      </w:r>
    </w:p>
    <w:p w14:paraId="6CBB82C8" w14:textId="77777777" w:rsidR="00265D75" w:rsidRPr="00265D75" w:rsidRDefault="00265D75" w:rsidP="00265D75">
      <w:pPr>
        <w:rPr>
          <w:sz w:val="22"/>
          <w:szCs w:val="22"/>
          <w:lang w:val="es-US"/>
        </w:rPr>
      </w:pPr>
      <w:proofErr w:type="spellStart"/>
      <w:r w:rsidRPr="00265D75">
        <w:rPr>
          <w:sz w:val="22"/>
          <w:szCs w:val="22"/>
          <w:lang w:val="es-US"/>
        </w:rPr>
        <w:t>iv</w:t>
      </w:r>
      <w:proofErr w:type="spellEnd"/>
      <w:r w:rsidRPr="00265D75">
        <w:rPr>
          <w:sz w:val="22"/>
          <w:szCs w:val="22"/>
          <w:lang w:val="es-US"/>
        </w:rPr>
        <w:t>) Mediación comunitaria y resolución pacífica de conflictos.</w:t>
      </w:r>
    </w:p>
    <w:p w14:paraId="7095243F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v) Promoción de la cultura ciudadana y autorregulación.</w:t>
      </w:r>
    </w:p>
    <w:p w14:paraId="249C6CD0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vi) Conocimiento y uso de tecnologías de seguridad comunitaria.</w:t>
      </w:r>
    </w:p>
    <w:p w14:paraId="20073F02" w14:textId="77777777" w:rsidR="00265D75" w:rsidRPr="00265D75" w:rsidRDefault="00265D75" w:rsidP="00265D75">
      <w:pPr>
        <w:rPr>
          <w:sz w:val="22"/>
          <w:szCs w:val="22"/>
          <w:lang w:val="es-US"/>
        </w:rPr>
      </w:pPr>
      <w:proofErr w:type="spellStart"/>
      <w:r w:rsidRPr="00265D75">
        <w:rPr>
          <w:sz w:val="22"/>
          <w:szCs w:val="22"/>
          <w:lang w:val="es-US"/>
        </w:rPr>
        <w:t>vii</w:t>
      </w:r>
      <w:proofErr w:type="spellEnd"/>
      <w:r w:rsidRPr="00265D75">
        <w:rPr>
          <w:sz w:val="22"/>
          <w:szCs w:val="22"/>
          <w:lang w:val="es-US"/>
        </w:rPr>
        <w:t>) Líneas de emergencia y rutas de atención.</w:t>
      </w:r>
    </w:p>
    <w:p w14:paraId="5108E23A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5CDBB53E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Adicionalmente, la Secretaría podrá desarrollar actividades pedagógicas dirigidas a la ciudadanía en general, con el propósito de promover la participación comunitaria y la cooperación con las autoridades.</w:t>
      </w:r>
    </w:p>
    <w:p w14:paraId="73C4F41F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65D638FA" w14:textId="7A8AB97D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PARÁGRAFO.</w:t>
      </w:r>
      <w:r w:rsidRPr="00265D75">
        <w:rPr>
          <w:sz w:val="22"/>
          <w:szCs w:val="22"/>
          <w:lang w:val="es-US"/>
        </w:rPr>
        <w:t xml:space="preserve"> La Secretaría Distrital de Seguridad, Convivencia y Justicia podrá adelantar acciones de coordinación con la Policía Metropolitana de Bogotá, exclusivamente en el marco de sus competencias constitucionales y legales, para fortalecer las actividades desarrolladas por los frentes de seguridad o zonas seguras y los grupos ciudadanos.</w:t>
      </w:r>
    </w:p>
    <w:p w14:paraId="6654C86D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5D99F63B" w14:textId="07D694B9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7. REGLAMENTACIÓN.</w:t>
      </w:r>
      <w:r w:rsidRPr="00265D75">
        <w:rPr>
          <w:sz w:val="22"/>
          <w:szCs w:val="22"/>
          <w:lang w:val="es-US"/>
        </w:rPr>
        <w:t xml:space="preserve"> La Administración Distrital reglamentará la creación, vinculación y funcionamiento de las instancias de participación comunitaria en seguridad (denominadas frentes de seguridad o zonas seguras y grupos ciudadanos) dentro de los seis (6) meses siguientes a la entrada en vigencia del presente Acuerdo.</w:t>
      </w:r>
    </w:p>
    <w:p w14:paraId="76882034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5F4864DF" w14:textId="57E6B53A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PARÁGRAFO.</w:t>
      </w:r>
      <w:r w:rsidRPr="00265D75">
        <w:rPr>
          <w:sz w:val="22"/>
          <w:szCs w:val="22"/>
          <w:lang w:val="es-US"/>
        </w:rPr>
        <w:t xml:space="preserve"> La Secretaría Distrital de Seguridad, Convivencia y Justicia incorporará dentro de su informe anual de gestión un capítulo específico sobre la implementación, impacto y alcance de la estrategia de participación comunitaria en seguridad, el cual podrá ser consultado por el Concejo de Bogotá y la ciudadanía interesada.</w:t>
      </w:r>
    </w:p>
    <w:p w14:paraId="7752B41F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3AD505CB" w14:textId="6707DFAE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lastRenderedPageBreak/>
        <w:t>ARTÍCULO 8. COMPONENTE TECNOLÓGICO.</w:t>
      </w:r>
      <w:r w:rsidRPr="00265D75">
        <w:rPr>
          <w:sz w:val="22"/>
          <w:szCs w:val="22"/>
          <w:lang w:val="es-US"/>
        </w:rPr>
        <w:t xml:space="preserve"> La Secretaría Distrital de Seguridad, Convivencia y Justicia incentivará, brindará y fortalecerá el uso de herramientas tecnológicas a través de la dotación, capacitación y acompañamiento técnico a las instancias de participación comunitaria en seguridad (denominadas frentes de seguridad o zonas seguras y grupos ciudadanos), con el fin de mejorar la capacidad comunitaria de prevención y la respuesta institucional.</w:t>
      </w:r>
    </w:p>
    <w:p w14:paraId="194C123E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166491AB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Estas herramientas podrán incluir cámaras de videovigilancia integradas al C4 y CAD, alarmas comunitarias, radios de comunicación, aplicaciones digitales y otros dispositivos compatibles con los protocolos de interoperabilidad tecnológica y de protección de datos personales.</w:t>
      </w:r>
    </w:p>
    <w:p w14:paraId="2B3508FE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2CA6B0C5" w14:textId="77777777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sz w:val="22"/>
          <w:szCs w:val="22"/>
          <w:lang w:val="es-US"/>
        </w:rPr>
        <w:t>El uso de dichas herramientas permitirá a las autoridades una respuesta más eficiente ante situaciones de riesgo o incidentes delictivos reportados por la comunidad, en el marco de la normatividad vigente y los protocolos de interoperabilidad tecnológica existentes.</w:t>
      </w:r>
    </w:p>
    <w:p w14:paraId="11D84DC3" w14:textId="77777777" w:rsidR="00265D75" w:rsidRPr="00265D75" w:rsidRDefault="00265D75" w:rsidP="00265D75">
      <w:pPr>
        <w:rPr>
          <w:sz w:val="22"/>
          <w:szCs w:val="22"/>
          <w:lang w:val="es-US"/>
        </w:rPr>
      </w:pPr>
    </w:p>
    <w:p w14:paraId="322BDD4D" w14:textId="018761EF" w:rsidR="00265D75" w:rsidRPr="00265D75" w:rsidRDefault="00265D75" w:rsidP="00265D75">
      <w:pPr>
        <w:rPr>
          <w:sz w:val="22"/>
          <w:szCs w:val="22"/>
          <w:lang w:val="es-US"/>
        </w:rPr>
      </w:pPr>
      <w:r w:rsidRPr="00265D75">
        <w:rPr>
          <w:b/>
          <w:bCs/>
          <w:sz w:val="22"/>
          <w:szCs w:val="22"/>
          <w:lang w:val="es-US"/>
        </w:rPr>
        <w:t>ARTÍCULO 9. VIGENCIA Y DEROGATORIAS.</w:t>
      </w:r>
      <w:r w:rsidRPr="00265D75">
        <w:rPr>
          <w:sz w:val="22"/>
          <w:szCs w:val="22"/>
          <w:lang w:val="es-US"/>
        </w:rPr>
        <w:t xml:space="preserve"> El presente acuerdo entrará en vigencia a partir de la fecha de su publicación oficial y deroga todas las disposiciones que le sean contrarias.</w:t>
      </w:r>
    </w:p>
    <w:p w14:paraId="79C98F77" w14:textId="77777777" w:rsidR="001125E6" w:rsidRDefault="001125E6">
      <w:pPr>
        <w:rPr>
          <w:sz w:val="22"/>
          <w:szCs w:val="22"/>
          <w:lang w:val="es-US"/>
        </w:rPr>
      </w:pPr>
    </w:p>
    <w:p w14:paraId="28516F97" w14:textId="77777777" w:rsidR="00265D75" w:rsidRPr="00265D75" w:rsidRDefault="00265D75">
      <w:pPr>
        <w:rPr>
          <w:sz w:val="22"/>
          <w:szCs w:val="22"/>
          <w:lang w:val="es-US"/>
        </w:rPr>
      </w:pPr>
    </w:p>
    <w:p w14:paraId="4491C117" w14:textId="5E102F83" w:rsidR="001125E6" w:rsidRPr="00265D75" w:rsidRDefault="00265D75" w:rsidP="00265D75">
      <w:pPr>
        <w:jc w:val="center"/>
        <w:rPr>
          <w:b/>
          <w:bCs/>
          <w:sz w:val="22"/>
          <w:szCs w:val="22"/>
        </w:rPr>
      </w:pPr>
      <w:r w:rsidRPr="00265D75">
        <w:rPr>
          <w:b/>
          <w:bCs/>
          <w:sz w:val="22"/>
          <w:szCs w:val="22"/>
        </w:rPr>
        <w:t>PUBLÍQUESE Y CÚMPLASE</w:t>
      </w:r>
    </w:p>
    <w:p w14:paraId="26A968BF" w14:textId="77777777" w:rsidR="001125E6" w:rsidRDefault="001125E6">
      <w:pPr>
        <w:rPr>
          <w:sz w:val="22"/>
          <w:szCs w:val="22"/>
        </w:rPr>
      </w:pPr>
    </w:p>
    <w:p w14:paraId="34546D34" w14:textId="77777777" w:rsidR="001125E6" w:rsidRDefault="001125E6">
      <w:pPr>
        <w:rPr>
          <w:sz w:val="22"/>
          <w:szCs w:val="22"/>
        </w:rPr>
      </w:pPr>
    </w:p>
    <w:p w14:paraId="39243EB3" w14:textId="77777777" w:rsidR="00265D75" w:rsidRDefault="00265D75">
      <w:pPr>
        <w:rPr>
          <w:sz w:val="22"/>
          <w:szCs w:val="22"/>
        </w:rPr>
      </w:pPr>
    </w:p>
    <w:p w14:paraId="59D1F9E0" w14:textId="77777777" w:rsidR="00265D75" w:rsidRDefault="00265D75">
      <w:pPr>
        <w:rPr>
          <w:sz w:val="22"/>
          <w:szCs w:val="22"/>
        </w:rPr>
      </w:pPr>
    </w:p>
    <w:p w14:paraId="25EE2EF8" w14:textId="77777777" w:rsidR="001125E6" w:rsidRDefault="001125E6">
      <w:pPr>
        <w:rPr>
          <w:sz w:val="22"/>
          <w:szCs w:val="22"/>
        </w:rPr>
      </w:pPr>
    </w:p>
    <w:p w14:paraId="3D8CBA15" w14:textId="77777777" w:rsidR="001125E6" w:rsidRDefault="001125E6">
      <w:pPr>
        <w:rPr>
          <w:sz w:val="22"/>
          <w:szCs w:val="22"/>
        </w:rPr>
      </w:pPr>
    </w:p>
    <w:p w14:paraId="5ACB973C" w14:textId="77777777" w:rsidR="001125E6" w:rsidRDefault="001125E6">
      <w:pPr>
        <w:rPr>
          <w:sz w:val="22"/>
          <w:szCs w:val="22"/>
        </w:rPr>
      </w:pPr>
    </w:p>
    <w:p w14:paraId="4F75D04F" w14:textId="2DA96269" w:rsidR="001125E6" w:rsidRDefault="00204C12">
      <w:pPr>
        <w:rPr>
          <w:b/>
          <w:sz w:val="22"/>
          <w:szCs w:val="22"/>
        </w:rPr>
      </w:pPr>
      <w:r>
        <w:rPr>
          <w:b/>
          <w:sz w:val="22"/>
          <w:szCs w:val="22"/>
        </w:rPr>
        <w:t>JESÚS DAVID ARAQUE MEJÍA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65D75">
        <w:rPr>
          <w:b/>
          <w:sz w:val="22"/>
          <w:szCs w:val="22"/>
        </w:rPr>
        <w:tab/>
        <w:t>JULIÁN USCATEGUI PASTRANA</w:t>
      </w:r>
    </w:p>
    <w:p w14:paraId="75C535AC" w14:textId="74798D6F" w:rsidR="001125E6" w:rsidRDefault="00204C12">
      <w:pPr>
        <w:rPr>
          <w:sz w:val="22"/>
          <w:szCs w:val="22"/>
        </w:rPr>
      </w:pPr>
      <w:r>
        <w:rPr>
          <w:sz w:val="22"/>
          <w:szCs w:val="22"/>
        </w:rPr>
        <w:t xml:space="preserve">Concejal </w:t>
      </w:r>
      <w:r w:rsidR="00265D75">
        <w:rPr>
          <w:sz w:val="22"/>
          <w:szCs w:val="22"/>
        </w:rPr>
        <w:t xml:space="preserve">Autor y Vocero del </w:t>
      </w:r>
      <w:r>
        <w:rPr>
          <w:sz w:val="22"/>
          <w:szCs w:val="22"/>
        </w:rPr>
        <w:t>Partido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265D75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Concejal</w:t>
      </w:r>
      <w:proofErr w:type="gramEnd"/>
      <w:r w:rsidR="00265D75">
        <w:rPr>
          <w:sz w:val="22"/>
          <w:szCs w:val="22"/>
        </w:rPr>
        <w:t xml:space="preserve"> Autor,</w:t>
      </w:r>
      <w:r>
        <w:rPr>
          <w:sz w:val="22"/>
          <w:szCs w:val="22"/>
        </w:rPr>
        <w:t xml:space="preserve"> Partido </w:t>
      </w:r>
      <w:r w:rsidR="00265D75">
        <w:rPr>
          <w:sz w:val="22"/>
          <w:szCs w:val="22"/>
        </w:rPr>
        <w:t xml:space="preserve">Centro </w:t>
      </w:r>
    </w:p>
    <w:p w14:paraId="29A8F28F" w14:textId="1863BC02" w:rsidR="001125E6" w:rsidRDefault="00265D75">
      <w:pPr>
        <w:rPr>
          <w:sz w:val="22"/>
          <w:szCs w:val="22"/>
        </w:rPr>
      </w:pPr>
      <w:r>
        <w:rPr>
          <w:sz w:val="22"/>
          <w:szCs w:val="22"/>
        </w:rPr>
        <w:t>Nuevo Liberalismo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Democrático</w:t>
      </w:r>
    </w:p>
    <w:p w14:paraId="516E2127" w14:textId="77777777" w:rsidR="001125E6" w:rsidRDefault="00204C12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08FAC0C5" w14:textId="77777777" w:rsidR="001125E6" w:rsidRDefault="00204C12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</w:t>
      </w:r>
    </w:p>
    <w:p w14:paraId="3214FDAD" w14:textId="77777777" w:rsidR="00265D75" w:rsidRDefault="00265D75">
      <w:pPr>
        <w:rPr>
          <w:b/>
          <w:sz w:val="22"/>
          <w:szCs w:val="22"/>
        </w:rPr>
      </w:pPr>
    </w:p>
    <w:p w14:paraId="29DDB620" w14:textId="77777777" w:rsidR="00265D75" w:rsidRDefault="00265D75">
      <w:pPr>
        <w:rPr>
          <w:b/>
          <w:sz w:val="22"/>
          <w:szCs w:val="22"/>
        </w:rPr>
      </w:pPr>
    </w:p>
    <w:p w14:paraId="651BD90F" w14:textId="77777777" w:rsidR="00265D75" w:rsidRDefault="00265D75">
      <w:pPr>
        <w:rPr>
          <w:b/>
          <w:sz w:val="22"/>
          <w:szCs w:val="22"/>
        </w:rPr>
      </w:pPr>
    </w:p>
    <w:p w14:paraId="16C1F2C0" w14:textId="77777777" w:rsidR="001125E6" w:rsidRDefault="00204C1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p w14:paraId="0B660F5D" w14:textId="051A4FB4" w:rsidR="001125E6" w:rsidRDefault="00265D75" w:rsidP="00265D75">
      <w:pPr>
        <w:rPr>
          <w:b/>
          <w:sz w:val="22"/>
          <w:szCs w:val="22"/>
        </w:rPr>
      </w:pPr>
      <w:r w:rsidRPr="00265D75">
        <w:rPr>
          <w:b/>
          <w:sz w:val="22"/>
          <w:szCs w:val="22"/>
        </w:rPr>
        <w:t>GERMÁN AUGUSTO GARCÍA MAYA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265D75">
        <w:rPr>
          <w:b/>
          <w:sz w:val="22"/>
          <w:szCs w:val="22"/>
        </w:rPr>
        <w:t>JULIÁN FELIPE TRIANA VARGAS</w:t>
      </w:r>
      <w:r w:rsidR="00204C12">
        <w:rPr>
          <w:b/>
          <w:sz w:val="22"/>
          <w:szCs w:val="22"/>
        </w:rPr>
        <w:tab/>
      </w:r>
    </w:p>
    <w:p w14:paraId="1BD3F6E1" w14:textId="05A0D265" w:rsidR="001125E6" w:rsidRPr="00EA192F" w:rsidRDefault="00204C12">
      <w:pPr>
        <w:rPr>
          <w:sz w:val="22"/>
          <w:szCs w:val="22"/>
        </w:rPr>
      </w:pPr>
      <w:r>
        <w:rPr>
          <w:sz w:val="22"/>
          <w:szCs w:val="22"/>
        </w:rPr>
        <w:t xml:space="preserve">Concejal </w:t>
      </w:r>
      <w:r w:rsidR="00265D75">
        <w:rPr>
          <w:sz w:val="22"/>
          <w:szCs w:val="22"/>
        </w:rPr>
        <w:t>Coordinador Ponente</w:t>
      </w:r>
      <w:r w:rsidR="00265D75">
        <w:rPr>
          <w:sz w:val="22"/>
          <w:szCs w:val="22"/>
        </w:rPr>
        <w:tab/>
      </w:r>
      <w:r w:rsidR="00265D75">
        <w:rPr>
          <w:sz w:val="22"/>
          <w:szCs w:val="22"/>
        </w:rPr>
        <w:tab/>
      </w:r>
      <w:r w:rsidR="00265D75"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Concejal</w:t>
      </w:r>
      <w:proofErr w:type="gramEnd"/>
      <w:r>
        <w:rPr>
          <w:sz w:val="22"/>
          <w:szCs w:val="22"/>
        </w:rPr>
        <w:t xml:space="preserve"> </w:t>
      </w:r>
      <w:r w:rsidR="00265D75">
        <w:rPr>
          <w:sz w:val="22"/>
          <w:szCs w:val="22"/>
        </w:rPr>
        <w:t>Ponente, Partido Alianza Partido Liberal Colombiano</w:t>
      </w:r>
      <w:r w:rsidR="00265D75">
        <w:rPr>
          <w:sz w:val="22"/>
          <w:szCs w:val="22"/>
        </w:rPr>
        <w:tab/>
      </w:r>
      <w:r w:rsidR="00265D75">
        <w:rPr>
          <w:sz w:val="22"/>
          <w:szCs w:val="22"/>
        </w:rPr>
        <w:tab/>
      </w:r>
      <w:r w:rsidR="00265D75">
        <w:rPr>
          <w:sz w:val="22"/>
          <w:szCs w:val="22"/>
        </w:rPr>
        <w:tab/>
      </w:r>
      <w:r w:rsidR="00265D75">
        <w:rPr>
          <w:sz w:val="22"/>
          <w:szCs w:val="22"/>
        </w:rPr>
        <w:tab/>
        <w:t>Verde</w:t>
      </w:r>
    </w:p>
    <w:sectPr w:rsidR="001125E6" w:rsidRPr="00EA192F">
      <w:headerReference w:type="default" r:id="rId8"/>
      <w:footerReference w:type="even" r:id="rId9"/>
      <w:footerReference w:type="default" r:id="rId10"/>
      <w:pgSz w:w="12242" w:h="15842"/>
      <w:pgMar w:top="1701" w:right="1701" w:bottom="1701" w:left="1701" w:header="1134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F19A" w14:textId="77777777" w:rsidR="00204C12" w:rsidRDefault="00204C12">
      <w:r>
        <w:separator/>
      </w:r>
    </w:p>
  </w:endnote>
  <w:endnote w:type="continuationSeparator" w:id="0">
    <w:p w14:paraId="4E13E577" w14:textId="77777777" w:rsidR="00204C12" w:rsidRDefault="00204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6B131" w14:textId="77777777" w:rsidR="001125E6" w:rsidRDefault="00204C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</w:pPr>
    <w:r>
      <w:fldChar w:fldCharType="begin"/>
    </w:r>
    <w:r>
      <w:instrText>PAGE</w:instrText>
    </w:r>
    <w:r>
      <w:fldChar w:fldCharType="separate"/>
    </w:r>
    <w:r>
      <w:fldChar w:fldCharType="end"/>
    </w:r>
  </w:p>
  <w:p w14:paraId="0EF881A4" w14:textId="77777777" w:rsidR="001125E6" w:rsidRDefault="0011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B9B43" w14:textId="77777777" w:rsidR="001125E6" w:rsidRDefault="0011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18"/>
        <w:szCs w:val="18"/>
      </w:rPr>
    </w:pPr>
  </w:p>
  <w:p w14:paraId="59105CFD" w14:textId="77777777" w:rsidR="001125E6" w:rsidRDefault="0011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18"/>
        <w:szCs w:val="18"/>
      </w:rPr>
    </w:pPr>
  </w:p>
  <w:p w14:paraId="63CC354B" w14:textId="77777777" w:rsidR="001125E6" w:rsidRDefault="0011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sz w:val="16"/>
        <w:szCs w:val="16"/>
      </w:rPr>
    </w:pPr>
  </w:p>
  <w:p w14:paraId="2C2560DA" w14:textId="77777777" w:rsidR="001125E6" w:rsidRDefault="0011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31016689" w14:textId="77777777" w:rsidR="001125E6" w:rsidRDefault="001125E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sz w:val="16"/>
        <w:szCs w:val="16"/>
      </w:rPr>
    </w:pPr>
  </w:p>
  <w:p w14:paraId="1DC7595B" w14:textId="77777777" w:rsidR="001125E6" w:rsidRDefault="001125E6">
    <w:pPr>
      <w:jc w:val="right"/>
      <w:rPr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56EE4" w14:textId="77777777" w:rsidR="00204C12" w:rsidRDefault="00204C12">
      <w:r>
        <w:separator/>
      </w:r>
    </w:p>
  </w:footnote>
  <w:footnote w:type="continuationSeparator" w:id="0">
    <w:p w14:paraId="173E9CE3" w14:textId="77777777" w:rsidR="00204C12" w:rsidRDefault="00204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5775A" w14:textId="77777777" w:rsidR="001125E6" w:rsidRDefault="001125E6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sz w:val="20"/>
        <w:szCs w:val="20"/>
      </w:rPr>
    </w:pPr>
  </w:p>
  <w:tbl>
    <w:tblPr>
      <w:tblStyle w:val="a"/>
      <w:tblW w:w="8830" w:type="dxa"/>
      <w:tblInd w:w="0" w:type="dxa"/>
      <w:tblLayout w:type="fixed"/>
      <w:tblLook w:val="0000" w:firstRow="0" w:lastRow="0" w:firstColumn="0" w:lastColumn="0" w:noHBand="0" w:noVBand="0"/>
    </w:tblPr>
    <w:tblGrid>
      <w:gridCol w:w="2361"/>
      <w:gridCol w:w="4235"/>
      <w:gridCol w:w="2234"/>
    </w:tblGrid>
    <w:tr w:rsidR="001125E6" w14:paraId="7973EF96" w14:textId="77777777">
      <w:trPr>
        <w:trHeight w:val="454"/>
      </w:trPr>
      <w:tc>
        <w:tcPr>
          <w:tcW w:w="2361" w:type="dxa"/>
          <w:vMerge w:val="restart"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50308D30" w14:textId="77777777" w:rsidR="001125E6" w:rsidRDefault="001125E6">
          <w:pPr>
            <w:jc w:val="center"/>
            <w:rPr>
              <w:sz w:val="16"/>
              <w:szCs w:val="16"/>
            </w:rPr>
          </w:pPr>
        </w:p>
      </w:tc>
      <w:tc>
        <w:tcPr>
          <w:tcW w:w="4235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71A54DF1" w14:textId="77777777" w:rsidR="001125E6" w:rsidRDefault="00204C12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PROCESO GESTIÓN NORMATIVA</w:t>
          </w:r>
        </w:p>
      </w:tc>
      <w:tc>
        <w:tcPr>
          <w:tcW w:w="223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6DABF8C8" w14:textId="77777777" w:rsidR="001125E6" w:rsidRDefault="00204C12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CÓDIGO</w:t>
          </w:r>
          <w:r>
            <w:rPr>
              <w:color w:val="3366FF"/>
              <w:sz w:val="16"/>
              <w:szCs w:val="16"/>
            </w:rPr>
            <w:t xml:space="preserve">: </w:t>
          </w:r>
          <w:r>
            <w:rPr>
              <w:sz w:val="16"/>
              <w:szCs w:val="16"/>
            </w:rPr>
            <w:t>GNV-FO-001</w:t>
          </w:r>
        </w:p>
      </w:tc>
    </w:tr>
    <w:tr w:rsidR="001125E6" w14:paraId="16FEA871" w14:textId="77777777">
      <w:trPr>
        <w:trHeight w:val="454"/>
      </w:trPr>
      <w:tc>
        <w:tcPr>
          <w:tcW w:w="2361" w:type="dxa"/>
          <w:vMerge/>
          <w:tcBorders>
            <w:top w:val="single" w:sz="4" w:space="0" w:color="000000"/>
            <w:left w:val="single" w:sz="4" w:space="0" w:color="000000"/>
            <w:right w:val="single" w:sz="4" w:space="0" w:color="000000"/>
          </w:tcBorders>
          <w:vAlign w:val="center"/>
        </w:tcPr>
        <w:p w14:paraId="6FBB5316" w14:textId="77777777" w:rsidR="001125E6" w:rsidRDefault="001125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16"/>
              <w:szCs w:val="16"/>
            </w:rPr>
          </w:pPr>
        </w:p>
      </w:tc>
      <w:tc>
        <w:tcPr>
          <w:tcW w:w="4235" w:type="dxa"/>
          <w:vMerge w:val="restart"/>
          <w:tcBorders>
            <w:top w:val="single" w:sz="4" w:space="0" w:color="000000"/>
            <w:left w:val="nil"/>
            <w:right w:val="single" w:sz="4" w:space="0" w:color="000000"/>
          </w:tcBorders>
          <w:vAlign w:val="center"/>
        </w:tcPr>
        <w:p w14:paraId="006F6E1B" w14:textId="77777777" w:rsidR="001125E6" w:rsidRDefault="00204C12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PRESENTACIÓN PROYECTOS DE ACUERDO</w:t>
          </w:r>
        </w:p>
      </w:tc>
      <w:tc>
        <w:tcPr>
          <w:tcW w:w="223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4DDF9FB4" w14:textId="77777777" w:rsidR="001125E6" w:rsidRDefault="00204C12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VERSIÓN:    02</w:t>
          </w:r>
        </w:p>
      </w:tc>
    </w:tr>
    <w:tr w:rsidR="001125E6" w14:paraId="04C70F8F" w14:textId="77777777">
      <w:trPr>
        <w:trHeight w:val="454"/>
      </w:trPr>
      <w:tc>
        <w:tcPr>
          <w:tcW w:w="2361" w:type="dxa"/>
          <w:vMerge/>
          <w:tcBorders>
            <w:top w:val="single" w:sz="4" w:space="0" w:color="000000"/>
            <w:left w:val="single" w:sz="4" w:space="0" w:color="000000"/>
            <w:bottom w:val="single" w:sz="8" w:space="0" w:color="000000"/>
            <w:right w:val="single" w:sz="4" w:space="0" w:color="000000"/>
          </w:tcBorders>
          <w:vAlign w:val="center"/>
        </w:tcPr>
        <w:p w14:paraId="4290B325" w14:textId="77777777" w:rsidR="001125E6" w:rsidRDefault="001125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16"/>
              <w:szCs w:val="16"/>
            </w:rPr>
          </w:pPr>
        </w:p>
      </w:tc>
      <w:tc>
        <w:tcPr>
          <w:tcW w:w="4235" w:type="dxa"/>
          <w:vMerge/>
          <w:tcBorders>
            <w:top w:val="single" w:sz="4" w:space="0" w:color="000000"/>
            <w:left w:val="nil"/>
            <w:bottom w:val="single" w:sz="8" w:space="0" w:color="000000"/>
            <w:right w:val="single" w:sz="4" w:space="0" w:color="000000"/>
          </w:tcBorders>
          <w:vAlign w:val="center"/>
        </w:tcPr>
        <w:p w14:paraId="44355FD8" w14:textId="77777777" w:rsidR="001125E6" w:rsidRDefault="001125E6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sz w:val="16"/>
              <w:szCs w:val="16"/>
            </w:rPr>
          </w:pPr>
        </w:p>
      </w:tc>
      <w:tc>
        <w:tcPr>
          <w:tcW w:w="2234" w:type="dxa"/>
          <w:tcBorders>
            <w:top w:val="single" w:sz="4" w:space="0" w:color="000000"/>
            <w:left w:val="nil"/>
            <w:bottom w:val="single" w:sz="4" w:space="0" w:color="000000"/>
            <w:right w:val="single" w:sz="4" w:space="0" w:color="000000"/>
          </w:tcBorders>
          <w:vAlign w:val="center"/>
        </w:tcPr>
        <w:p w14:paraId="4EAAAD4C" w14:textId="77777777" w:rsidR="001125E6" w:rsidRDefault="00204C12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FECHA: 14-Nov-2019</w:t>
          </w:r>
        </w:p>
      </w:tc>
    </w:tr>
  </w:tbl>
  <w:p w14:paraId="63AC9758" w14:textId="77777777" w:rsidR="001125E6" w:rsidRDefault="00204C1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</w:pPr>
    <w:r>
      <w:rPr>
        <w:noProof/>
      </w:rPr>
      <w:drawing>
        <wp:anchor distT="0" distB="0" distL="0" distR="0" simplePos="0" relativeHeight="251658240" behindDoc="1" locked="0" layoutInCell="1" hidden="0" allowOverlap="1" wp14:anchorId="344F3D6D" wp14:editId="5EF45477">
          <wp:simplePos x="0" y="0"/>
          <wp:positionH relativeFrom="column">
            <wp:posOffset>441325</wp:posOffset>
          </wp:positionH>
          <wp:positionV relativeFrom="paragraph">
            <wp:posOffset>-890268</wp:posOffset>
          </wp:positionV>
          <wp:extent cx="752475" cy="885825"/>
          <wp:effectExtent l="0" t="0" r="0" b="0"/>
          <wp:wrapNone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2475" cy="885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08B2"/>
    <w:multiLevelType w:val="multilevel"/>
    <w:tmpl w:val="8C089846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4D1896"/>
    <w:multiLevelType w:val="hybridMultilevel"/>
    <w:tmpl w:val="796A5E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0179523">
    <w:abstractNumId w:val="0"/>
  </w:num>
  <w:num w:numId="2" w16cid:durableId="1299610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5E6"/>
    <w:rsid w:val="000733E5"/>
    <w:rsid w:val="001125E6"/>
    <w:rsid w:val="00204C12"/>
    <w:rsid w:val="00265D75"/>
    <w:rsid w:val="00A37FCC"/>
    <w:rsid w:val="00AD1EE5"/>
    <w:rsid w:val="00EA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4C09C"/>
  <w15:docId w15:val="{81479A60-9FB8-9F4D-91E7-55FF8B667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8CA"/>
    <w:rPr>
      <w:color w:val="000000"/>
    </w:rPr>
  </w:style>
  <w:style w:type="paragraph" w:styleId="Ttulo1">
    <w:name w:val="heading 1"/>
    <w:basedOn w:val="Normal"/>
    <w:next w:val="Normal"/>
    <w:link w:val="Ttulo1Car"/>
    <w:uiPriority w:val="9"/>
    <w:qFormat/>
    <w:rsid w:val="00AE7E3B"/>
    <w:pPr>
      <w:keepNext/>
      <w:jc w:val="center"/>
      <w:outlineLvl w:val="0"/>
    </w:pPr>
    <w:rPr>
      <w:rFonts w:ascii="Times New Roman" w:hAnsi="Times New Roman"/>
      <w:color w:val="auto"/>
      <w:lang w:val="es-MX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E7E3B"/>
    <w:pPr>
      <w:keepNext/>
      <w:outlineLvl w:val="1"/>
    </w:pPr>
    <w:rPr>
      <w:rFonts w:ascii="Times New Roman" w:hAnsi="Times New Roman"/>
      <w:color w:val="auto"/>
      <w:lang w:val="es-MX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D4F10"/>
    <w:pPr>
      <w:keepNext/>
      <w:spacing w:before="240" w:after="60"/>
      <w:outlineLvl w:val="3"/>
    </w:pPr>
    <w:rPr>
      <w:rFonts w:ascii="Times New Roman" w:hAnsi="Times New Roman"/>
      <w:b/>
      <w:bCs/>
      <w:color w:val="auto"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6D41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9"/>
    <w:locked/>
    <w:rsid w:val="0078358A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78358A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BD4F10"/>
    <w:rPr>
      <w:rFonts w:cs="Times New Roman"/>
      <w:b/>
      <w:sz w:val="28"/>
      <w:lang w:val="es-ES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776D41"/>
    <w:rPr>
      <w:rFonts w:ascii="Cambria" w:hAnsi="Cambria" w:cs="Times New Roman"/>
      <w:color w:val="243F60"/>
      <w:sz w:val="24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AE7E3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Piedepgina">
    <w:name w:val="footer"/>
    <w:basedOn w:val="Normal"/>
    <w:link w:val="PiedepginaCar"/>
    <w:rsid w:val="00AE7E3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AE7E3B"/>
    <w:pPr>
      <w:jc w:val="both"/>
    </w:pPr>
    <w:rPr>
      <w:rFonts w:ascii="Times New Roman" w:hAnsi="Times New Roman"/>
      <w:color w:val="auto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rsid w:val="00AE7E3B"/>
    <w:rPr>
      <w:rFonts w:cs="Times New Roman"/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AE7E3B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table" w:styleId="Tablaconcuadrcula">
    <w:name w:val="Table Grid"/>
    <w:basedOn w:val="Tablanormal"/>
    <w:uiPriority w:val="99"/>
    <w:rsid w:val="00C52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rsid w:val="000844A8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AD4793"/>
    <w:rPr>
      <w:rFonts w:cs="Times New Roman"/>
    </w:rPr>
  </w:style>
  <w:style w:type="paragraph" w:styleId="Textoindependiente2">
    <w:name w:val="Body Text 2"/>
    <w:basedOn w:val="Normal"/>
    <w:link w:val="Textoindependiente2Car"/>
    <w:uiPriority w:val="99"/>
    <w:rsid w:val="007B133B"/>
    <w:pPr>
      <w:spacing w:after="120" w:line="480" w:lineRule="auto"/>
    </w:pPr>
    <w:rPr>
      <w:rFonts w:ascii="Times New Roman" w:hAnsi="Times New Roman"/>
      <w:color w:val="auto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78358A"/>
    <w:rPr>
      <w:rFonts w:ascii="Arial" w:hAnsi="Arial" w:cs="Times New Roman"/>
      <w:color w:val="000000"/>
      <w:sz w:val="20"/>
      <w:szCs w:val="20"/>
    </w:rPr>
  </w:style>
  <w:style w:type="paragraph" w:styleId="Textoindependiente3">
    <w:name w:val="Body Text 3"/>
    <w:basedOn w:val="Normal"/>
    <w:link w:val="Textoindependiente3Car"/>
    <w:uiPriority w:val="99"/>
    <w:rsid w:val="00840C8F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locked/>
    <w:rsid w:val="0078358A"/>
    <w:rPr>
      <w:rFonts w:ascii="Arial" w:hAnsi="Arial" w:cs="Times New Roman"/>
      <w:color w:val="000000"/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rsid w:val="00DD743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78358A"/>
    <w:rPr>
      <w:rFonts w:cs="Times New Roman"/>
      <w:color w:val="000000"/>
      <w:sz w:val="2"/>
    </w:rPr>
  </w:style>
  <w:style w:type="paragraph" w:styleId="Prrafodelista">
    <w:name w:val="List Paragraph"/>
    <w:basedOn w:val="Normal"/>
    <w:uiPriority w:val="99"/>
    <w:qFormat/>
    <w:rsid w:val="005C3311"/>
    <w:pPr>
      <w:ind w:left="708"/>
    </w:pPr>
  </w:style>
  <w:style w:type="paragraph" w:customStyle="1" w:styleId="Table">
    <w:name w:val="Table"/>
    <w:basedOn w:val="Normal"/>
    <w:autoRedefine/>
    <w:uiPriority w:val="99"/>
    <w:rsid w:val="006F04EF"/>
    <w:pPr>
      <w:spacing w:before="40" w:after="40"/>
      <w:ind w:left="4" w:hanging="4"/>
    </w:pPr>
    <w:rPr>
      <w:b/>
      <w:sz w:val="20"/>
      <w:lang w:val="en-GB"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customStyle="1" w:styleId="s31">
    <w:name w:val="s31"/>
    <w:basedOn w:val="Fuentedeprrafopredeter"/>
    <w:rsid w:val="00AD1EE5"/>
  </w:style>
  <w:style w:type="character" w:customStyle="1" w:styleId="s39">
    <w:name w:val="s39"/>
    <w:basedOn w:val="Fuentedeprrafopredeter"/>
    <w:rsid w:val="00AD1EE5"/>
  </w:style>
  <w:style w:type="character" w:customStyle="1" w:styleId="apple-converted-space">
    <w:name w:val="apple-converted-space"/>
    <w:basedOn w:val="Fuentedeprrafopredeter"/>
    <w:rsid w:val="00AD1E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7e40zIgy0Xaf0BNuECdC6m3GAw==">CgMxLjA4AHIhMWZIakVSaF94STRsMDdka1lRZXJmSGFENEkxcG53eXp4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1350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WILSON L. MORENO C.</dc:creator>
  <cp:lastModifiedBy>Laura Natalia Silva Romero</cp:lastModifiedBy>
  <cp:revision>3</cp:revision>
  <dcterms:created xsi:type="dcterms:W3CDTF">2025-08-31T00:48:00Z</dcterms:created>
  <dcterms:modified xsi:type="dcterms:W3CDTF">2025-08-31T01:37:00Z</dcterms:modified>
</cp:coreProperties>
</file>